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40" w:rsidRPr="0050733D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50733D">
        <w:rPr>
          <w:color w:val="FF0000"/>
          <w:sz w:val="28"/>
          <w:szCs w:val="28"/>
        </w:rPr>
        <w:t>ÇEVRE LİSANSI</w:t>
      </w:r>
    </w:p>
    <w:p w:rsidR="007E42F2" w:rsidRPr="0050733D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50733D">
        <w:rPr>
          <w:color w:val="FF0000"/>
          <w:sz w:val="28"/>
          <w:szCs w:val="28"/>
        </w:rPr>
        <w:t>BAŞVURUSUNDA BULUNACAK İŞLETMELERİN</w:t>
      </w:r>
    </w:p>
    <w:p w:rsidR="00E45040" w:rsidRPr="0050733D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50733D">
        <w:rPr>
          <w:color w:val="FF0000"/>
          <w:sz w:val="28"/>
          <w:szCs w:val="28"/>
        </w:rPr>
        <w:t>SAĞLAMASI GEREKEN FİZİKİ ŞARTLAR</w:t>
      </w:r>
    </w:p>
    <w:p w:rsidR="00E45040" w:rsidRDefault="00E45040" w:rsidP="00D937E0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EF1A6B" w:rsidRPr="0050733D" w:rsidRDefault="00EF1A6B" w:rsidP="00D937E0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2F5528" w:rsidRPr="00624987" w:rsidRDefault="002F5528" w:rsidP="00D937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24987">
        <w:rPr>
          <w:rFonts w:ascii="Times New Roman" w:hAnsi="Times New Roman" w:cs="Times New Roman"/>
          <w:b/>
          <w:sz w:val="24"/>
          <w:szCs w:val="24"/>
        </w:rPr>
        <w:t>Tesisin Adı</w:t>
      </w:r>
      <w:r w:rsidRPr="00624987">
        <w:rPr>
          <w:rFonts w:ascii="Times New Roman" w:hAnsi="Times New Roman" w:cs="Times New Roman"/>
          <w:b/>
          <w:sz w:val="24"/>
          <w:szCs w:val="24"/>
        </w:rPr>
        <w:tab/>
      </w:r>
      <w:r w:rsidRPr="00624987">
        <w:rPr>
          <w:rFonts w:ascii="Times New Roman" w:hAnsi="Times New Roman" w:cs="Times New Roman"/>
          <w:b/>
          <w:sz w:val="24"/>
          <w:szCs w:val="24"/>
        </w:rPr>
        <w:tab/>
      </w:r>
      <w:r w:rsidRPr="00624987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2F5528" w:rsidRPr="00624987" w:rsidRDefault="002F5528" w:rsidP="00D937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24987">
        <w:rPr>
          <w:rFonts w:ascii="Times New Roman" w:hAnsi="Times New Roman" w:cs="Times New Roman"/>
          <w:b/>
          <w:sz w:val="24"/>
          <w:szCs w:val="24"/>
        </w:rPr>
        <w:t>Tesisin Adresi</w:t>
      </w:r>
      <w:r w:rsidRPr="00624987">
        <w:rPr>
          <w:rFonts w:ascii="Times New Roman" w:hAnsi="Times New Roman" w:cs="Times New Roman"/>
          <w:b/>
          <w:sz w:val="24"/>
          <w:szCs w:val="24"/>
        </w:rPr>
        <w:tab/>
      </w:r>
      <w:r w:rsidRPr="00624987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45040" w:rsidRPr="00624987" w:rsidRDefault="00E45040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37E0" w:rsidRPr="00624987" w:rsidRDefault="00E45040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24987">
        <w:rPr>
          <w:rFonts w:ascii="Times New Roman" w:hAnsi="Times New Roman" w:cs="Times New Roman"/>
          <w:b/>
          <w:sz w:val="24"/>
          <w:szCs w:val="24"/>
        </w:rPr>
        <w:t>Çevre Lisansı</w:t>
      </w:r>
      <w:r w:rsidR="009C47C8" w:rsidRPr="00624987">
        <w:rPr>
          <w:rFonts w:ascii="Times New Roman" w:hAnsi="Times New Roman" w:cs="Times New Roman"/>
          <w:b/>
          <w:sz w:val="24"/>
          <w:szCs w:val="24"/>
        </w:rPr>
        <w:t>nın</w:t>
      </w:r>
      <w:r w:rsidRPr="00624987">
        <w:rPr>
          <w:rFonts w:ascii="Times New Roman" w:hAnsi="Times New Roman" w:cs="Times New Roman"/>
          <w:b/>
          <w:sz w:val="24"/>
          <w:szCs w:val="24"/>
        </w:rPr>
        <w:t xml:space="preserve"> Konusu</w:t>
      </w:r>
      <w:r w:rsidRPr="00624987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624987">
        <w:rPr>
          <w:rFonts w:ascii="Times New Roman" w:hAnsi="Times New Roman" w:cs="Times New Roman"/>
          <w:sz w:val="24"/>
          <w:szCs w:val="24"/>
        </w:rPr>
        <w:t xml:space="preserve"> </w:t>
      </w:r>
      <w:r w:rsidR="004056E4" w:rsidRPr="00624987">
        <w:rPr>
          <w:rFonts w:ascii="Times New Roman" w:hAnsi="Times New Roman" w:cs="Times New Roman"/>
          <w:sz w:val="24"/>
          <w:szCs w:val="24"/>
        </w:rPr>
        <w:t>Bitkisel Atık Yağ Geri Kazanımı</w:t>
      </w:r>
    </w:p>
    <w:p w:rsidR="00D937E0" w:rsidRPr="00624987" w:rsidRDefault="00E45040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24987">
        <w:rPr>
          <w:rFonts w:ascii="Times New Roman" w:hAnsi="Times New Roman" w:cs="Times New Roman"/>
          <w:b/>
          <w:sz w:val="24"/>
          <w:szCs w:val="24"/>
        </w:rPr>
        <w:t>İlgili Yönetmelik</w:t>
      </w:r>
      <w:r w:rsidRPr="00624987">
        <w:rPr>
          <w:rFonts w:ascii="Times New Roman" w:hAnsi="Times New Roman" w:cs="Times New Roman"/>
          <w:b/>
          <w:sz w:val="24"/>
          <w:szCs w:val="24"/>
        </w:rPr>
        <w:tab/>
      </w:r>
      <w:r w:rsidR="009C47C8" w:rsidRPr="00624987">
        <w:rPr>
          <w:rFonts w:ascii="Times New Roman" w:hAnsi="Times New Roman" w:cs="Times New Roman"/>
          <w:b/>
          <w:sz w:val="24"/>
          <w:szCs w:val="24"/>
        </w:rPr>
        <w:tab/>
      </w:r>
      <w:r w:rsidRPr="006249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056E4" w:rsidRPr="00624987">
        <w:rPr>
          <w:rFonts w:ascii="Times New Roman" w:hAnsi="Times New Roman" w:cs="Times New Roman"/>
          <w:sz w:val="24"/>
          <w:szCs w:val="24"/>
        </w:rPr>
        <w:t>Bitkisel Atık Yağ</w:t>
      </w:r>
      <w:r w:rsidRPr="00624987">
        <w:rPr>
          <w:rFonts w:ascii="Times New Roman" w:hAnsi="Times New Roman" w:cs="Times New Roman"/>
          <w:sz w:val="24"/>
          <w:szCs w:val="24"/>
        </w:rPr>
        <w:t xml:space="preserve">ların Kontrolü Yönetmeliği </w:t>
      </w:r>
    </w:p>
    <w:p w:rsidR="00706505" w:rsidRDefault="002F5528" w:rsidP="00D937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24987">
        <w:rPr>
          <w:rFonts w:ascii="Times New Roman" w:hAnsi="Times New Roman" w:cs="Times New Roman"/>
          <w:b/>
          <w:sz w:val="24"/>
          <w:szCs w:val="24"/>
        </w:rPr>
        <w:t>İnceleme Tarihi</w:t>
      </w:r>
      <w:r w:rsidRPr="00624987">
        <w:rPr>
          <w:rFonts w:ascii="Times New Roman" w:hAnsi="Times New Roman" w:cs="Times New Roman"/>
          <w:sz w:val="24"/>
          <w:szCs w:val="24"/>
        </w:rPr>
        <w:tab/>
      </w:r>
      <w:r w:rsidRPr="00624987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F1A6B" w:rsidRPr="00624987" w:rsidRDefault="00EF1A6B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937E0" w:rsidRPr="0050733D" w:rsidRDefault="00D937E0" w:rsidP="00D937E0">
      <w:pPr>
        <w:pStyle w:val="AralkYok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40"/>
        <w:gridCol w:w="2806"/>
        <w:gridCol w:w="1134"/>
        <w:gridCol w:w="1275"/>
      </w:tblGrid>
      <w:tr w:rsidR="00D937E0" w:rsidRPr="0050733D" w:rsidTr="00DF0E87">
        <w:tc>
          <w:tcPr>
            <w:tcW w:w="7514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D937E0" w:rsidRPr="0050733D" w:rsidRDefault="00D937E0" w:rsidP="00706505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  <w:p w:rsidR="00D937E0" w:rsidRPr="0050733D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İşletme</w:t>
            </w:r>
            <w:r w:rsidR="00706505" w:rsidRPr="0050733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nin</w:t>
            </w:r>
            <w:r w:rsidRPr="0050733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Sağlaması Zorunlu</w:t>
            </w:r>
            <w:r w:rsidR="00706505" w:rsidRPr="0050733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Fiziksel Şartlar</w:t>
            </w:r>
          </w:p>
          <w:p w:rsidR="00D937E0" w:rsidRPr="0050733D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D937E0" w:rsidRPr="0050733D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EVET</w:t>
            </w: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D937E0" w:rsidRPr="0050733D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HAYIR</w:t>
            </w:r>
          </w:p>
        </w:tc>
      </w:tr>
      <w:tr w:rsidR="00D937E0" w:rsidRPr="0050733D" w:rsidTr="00DF0E87">
        <w:trPr>
          <w:trHeight w:val="1380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D937E0" w:rsidRPr="0050733D" w:rsidRDefault="00D937E0" w:rsidP="00730A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A5DE5" w:rsidRPr="00624987" w:rsidRDefault="0018786D" w:rsidP="00730A9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87">
              <w:rPr>
                <w:rFonts w:ascii="Times New Roman" w:hAnsi="Times New Roman" w:cs="Times New Roman"/>
                <w:sz w:val="24"/>
                <w:szCs w:val="24"/>
              </w:rPr>
              <w:t>İşletmede …/…/</w:t>
            </w:r>
            <w:proofErr w:type="gramStart"/>
            <w:r w:rsidRPr="00624987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624987">
              <w:rPr>
                <w:rFonts w:ascii="Times New Roman" w:hAnsi="Times New Roman" w:cs="Times New Roman"/>
                <w:sz w:val="24"/>
                <w:szCs w:val="24"/>
              </w:rPr>
              <w:t xml:space="preserve"> tarihli ve </w:t>
            </w:r>
            <w:proofErr w:type="gramStart"/>
            <w:r w:rsidRPr="00624987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proofErr w:type="gramEnd"/>
            <w:r w:rsidRPr="00624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4987">
              <w:rPr>
                <w:rFonts w:ascii="Times New Roman" w:hAnsi="Times New Roman" w:cs="Times New Roman"/>
                <w:sz w:val="24"/>
                <w:szCs w:val="24"/>
              </w:rPr>
              <w:t>rapor</w:t>
            </w:r>
            <w:proofErr w:type="gramEnd"/>
            <w:r w:rsidRPr="00624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987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624987">
              <w:rPr>
                <w:rFonts w:ascii="Times New Roman" w:hAnsi="Times New Roman" w:cs="Times New Roman"/>
                <w:sz w:val="24"/>
                <w:szCs w:val="24"/>
              </w:rPr>
              <w:t xml:space="preserve"> kapasite/ön kapasite raporunda yukarıda belirtilen makine ve ekipmanlar işletmede bulunmaktadır. 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D937E0" w:rsidRPr="0050733D" w:rsidRDefault="00D937E0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937E0" w:rsidRPr="0050733D" w:rsidRDefault="00D937E0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0D5ED7" w:rsidRPr="0050733D" w:rsidTr="00DF0E87">
        <w:trPr>
          <w:trHeight w:val="1029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D5ED7" w:rsidRPr="0050733D" w:rsidRDefault="000D5ED7" w:rsidP="00730A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800970" w:rsidRPr="00624987" w:rsidRDefault="0018786D" w:rsidP="00800970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987">
              <w:rPr>
                <w:rFonts w:ascii="Times New Roman" w:hAnsi="Times New Roman" w:cs="Times New Roman"/>
                <w:sz w:val="24"/>
                <w:szCs w:val="24"/>
              </w:rPr>
              <w:t xml:space="preserve">Yukarıda belirtilen ve Kapasite raporunda yer alan makine ve </w:t>
            </w:r>
            <w:proofErr w:type="gramStart"/>
            <w:r w:rsidRPr="00624987">
              <w:rPr>
                <w:rFonts w:ascii="Times New Roman" w:hAnsi="Times New Roman" w:cs="Times New Roman"/>
                <w:sz w:val="24"/>
                <w:szCs w:val="24"/>
              </w:rPr>
              <w:t>ekipmanların</w:t>
            </w:r>
            <w:proofErr w:type="gramEnd"/>
            <w:r w:rsidRPr="00624987">
              <w:rPr>
                <w:rFonts w:ascii="Times New Roman" w:hAnsi="Times New Roman" w:cs="Times New Roman"/>
                <w:sz w:val="24"/>
                <w:szCs w:val="24"/>
              </w:rPr>
              <w:t xml:space="preserve"> montajı tamamlanmış ve faaliyete hazırdır. 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D5ED7" w:rsidRPr="0050733D" w:rsidRDefault="000D5ED7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D5ED7" w:rsidRPr="0050733D" w:rsidRDefault="000D5ED7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2623FD" w:rsidRPr="0050733D" w:rsidTr="00DF0E87">
        <w:trPr>
          <w:trHeight w:val="973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623FD" w:rsidRPr="0050733D" w:rsidRDefault="00A21087" w:rsidP="00730A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623FD" w:rsidRPr="00DA638B" w:rsidRDefault="0018786D" w:rsidP="00DA638B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Tesiste giriş bölümü, atık kabul ünitesi, tesise gelen bitkisel atık yağın depolanması için stok sahası bulunmaktadır. 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623FD" w:rsidRPr="0050733D" w:rsidRDefault="002623FD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2623FD" w:rsidRPr="0050733D" w:rsidRDefault="002623FD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5A482E" w:rsidRPr="0050733D" w:rsidTr="00DF0E87">
        <w:trPr>
          <w:trHeight w:val="771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A482E" w:rsidRPr="0050733D" w:rsidRDefault="008F261D" w:rsidP="00730A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A563D" w:rsidRDefault="00AA563D" w:rsidP="00434033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482E" w:rsidRDefault="0018786D" w:rsidP="00434033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Tesisten kaynaklı atık suların deşarjı </w:t>
            </w:r>
            <w:proofErr w:type="gramStart"/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31/12/2004</w:t>
            </w:r>
            <w:proofErr w:type="gramEnd"/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tarihli ve 25687 sayılı Resmî </w:t>
            </w:r>
            <w:proofErr w:type="spellStart"/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Gazete’de</w:t>
            </w:r>
            <w:proofErr w:type="spellEnd"/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yayımlanan Su Kirliliği Kontrolü Yönetmeliği hükümlerine uygun yapılmaktadır.</w:t>
            </w:r>
          </w:p>
          <w:p w:rsidR="00AA563D" w:rsidRPr="00DA638B" w:rsidRDefault="00AA563D" w:rsidP="00434033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A482E" w:rsidRPr="0050733D" w:rsidRDefault="005A482E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A482E" w:rsidRPr="0050733D" w:rsidRDefault="005A482E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5A482E" w:rsidRPr="0050733D" w:rsidTr="00DF0E87">
        <w:trPr>
          <w:trHeight w:val="729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A482E" w:rsidRPr="0050733D" w:rsidRDefault="008F261D" w:rsidP="00730A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A563D" w:rsidRDefault="00AA563D" w:rsidP="002623FD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482E" w:rsidRDefault="0018786D" w:rsidP="002623FD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Tesise kabul edilen bitkisel atık yağların tartımı işletmede yapılmaktadır </w:t>
            </w:r>
            <w:proofErr w:type="gramStart"/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yada</w:t>
            </w:r>
            <w:proofErr w:type="gramEnd"/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bitkisel atık yağların tartımına ilişkin kantar sözleşmesi bulunmaktadır.</w:t>
            </w:r>
          </w:p>
          <w:p w:rsidR="00AA563D" w:rsidRPr="00DA638B" w:rsidRDefault="00AA563D" w:rsidP="002623FD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A482E" w:rsidRPr="0050733D" w:rsidRDefault="005A482E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A482E" w:rsidRPr="0050733D" w:rsidRDefault="005A482E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FF55F0" w:rsidRPr="0050733D" w:rsidTr="00DF0E87">
        <w:trPr>
          <w:trHeight w:val="683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F55F0" w:rsidRPr="0050733D" w:rsidRDefault="008F261D" w:rsidP="00730A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46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A563D" w:rsidRDefault="00AA563D" w:rsidP="002623FD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2F0A" w:rsidRDefault="0018786D" w:rsidP="002623FD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Bitkisel atık yağ ile temasta olan (atık kabul ünitesi, stok sahası vb.) veya olabilecek kısımlarında zemin geçirimsizliğinin sağlanması gerekir. Bu amaçla zemin betonarme, </w:t>
            </w:r>
            <w:proofErr w:type="spellStart"/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epoksi</w:t>
            </w:r>
            <w:proofErr w:type="spellEnd"/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boya veya benzeri tecrit malzemesi ile kaplanmıştır. </w:t>
            </w:r>
          </w:p>
          <w:p w:rsidR="00AA563D" w:rsidRPr="00DA638B" w:rsidRDefault="00AA563D" w:rsidP="002623FD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F55F0" w:rsidRPr="0050733D" w:rsidRDefault="00FF55F0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F55F0" w:rsidRPr="0050733D" w:rsidRDefault="00FF55F0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1E2F0A" w:rsidRPr="0050733D" w:rsidTr="00DF0E87">
        <w:trPr>
          <w:trHeight w:val="683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2F0A" w:rsidRPr="0050733D" w:rsidRDefault="008F261D" w:rsidP="00730A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46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A563D" w:rsidRDefault="00AA563D" w:rsidP="002623FD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563D" w:rsidRPr="00DA638B" w:rsidRDefault="0018786D" w:rsidP="001C30B4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Kolaylıkla görülebilecek bir noktada ve kolayca okunabilir boyutlarda bitkisel atık yağların depolandığına dair uyarı ve bilgilendirme levhası bulundurulmaktadır.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2F0A" w:rsidRPr="0050733D" w:rsidRDefault="001E2F0A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2F0A" w:rsidRPr="0050733D" w:rsidRDefault="001E2F0A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1E2F0A" w:rsidRPr="0050733D" w:rsidTr="00DF0E87">
        <w:trPr>
          <w:trHeight w:val="683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2F0A" w:rsidRPr="0050733D" w:rsidRDefault="008F261D" w:rsidP="00730A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6946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A563D" w:rsidRDefault="00AA563D" w:rsidP="00BF2F3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2F0A" w:rsidRDefault="0018786D" w:rsidP="00BF2F3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Atık kabul alanı yağmura karşı korunaklıdır. </w:t>
            </w:r>
            <w:r w:rsid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(Atık kabul alanında bulunan atıkların yağmur almayacak şekilde üstü kapalı olması)</w:t>
            </w:r>
          </w:p>
          <w:p w:rsidR="00AA563D" w:rsidRPr="00DA638B" w:rsidRDefault="00AA563D" w:rsidP="00BF2F3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2F0A" w:rsidRPr="0050733D" w:rsidRDefault="001E2F0A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2F0A" w:rsidRPr="0050733D" w:rsidRDefault="001E2F0A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1E2F0A" w:rsidRPr="0050733D" w:rsidTr="00DF0E87">
        <w:trPr>
          <w:trHeight w:val="683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2F0A" w:rsidRPr="0050733D" w:rsidRDefault="008F261D" w:rsidP="00730A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46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A563D" w:rsidRDefault="00AA563D" w:rsidP="00AA563D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2F0A" w:rsidRDefault="0018786D" w:rsidP="00AA563D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Stok sahasında bitkisel atık yağlar biriktirme tankı ile</w:t>
            </w:r>
            <w:r w:rsidR="00AA5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depolanmaktadır. Depolama tankı taşmaya neden olmayacak hacme</w:t>
            </w:r>
            <w:r w:rsidR="00AA5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sahip güvenlik havuzu içinde bulunmaktadır.</w:t>
            </w:r>
          </w:p>
          <w:p w:rsidR="00AA563D" w:rsidRPr="00DA638B" w:rsidRDefault="00AA563D" w:rsidP="00AA563D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2F0A" w:rsidRPr="0050733D" w:rsidRDefault="001E2F0A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2F0A" w:rsidRPr="0050733D" w:rsidRDefault="001E2F0A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EF1A6B" w:rsidRPr="0050733D" w:rsidTr="001A33AA">
        <w:trPr>
          <w:trHeight w:val="972"/>
        </w:trPr>
        <w:tc>
          <w:tcPr>
            <w:tcW w:w="568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000080"/>
            </w:tcBorders>
            <w:vAlign w:val="center"/>
          </w:tcPr>
          <w:p w:rsidR="00EF1A6B" w:rsidRPr="0050733D" w:rsidRDefault="00EF1A6B" w:rsidP="00730A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40" w:type="dxa"/>
            <w:vMerge w:val="restart"/>
            <w:tcBorders>
              <w:top w:val="single" w:sz="12" w:space="0" w:color="000080"/>
              <w:left w:val="single" w:sz="12" w:space="0" w:color="000080"/>
              <w:right w:val="single" w:sz="12" w:space="0" w:color="365F91" w:themeColor="accent1" w:themeShade="BF"/>
            </w:tcBorders>
            <w:vAlign w:val="center"/>
          </w:tcPr>
          <w:p w:rsidR="00EF1A6B" w:rsidRPr="00DA638B" w:rsidRDefault="00EF1A6B" w:rsidP="00990ECB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Bitkisel Atık Yağ Temin Etme Durumu</w:t>
            </w:r>
            <w:r w:rsidR="00B33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(İşletme seçeneklerden en az birini sağlamalıdır)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EF1A6B" w:rsidRPr="00BB679B" w:rsidRDefault="00B337ED" w:rsidP="00B3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İşletme, GFB/Çevre</w:t>
            </w:r>
            <w:r w:rsidR="0052476F">
              <w:rPr>
                <w:rFonts w:ascii="Times New Roman" w:hAnsi="Times New Roman" w:cs="Times New Roman"/>
                <w:sz w:val="24"/>
                <w:szCs w:val="24"/>
              </w:rPr>
              <w:t xml:space="preserve"> İzin ve Lisans Belgesi bulunan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kendisine ait atık yağ ara depolama tesisinden atıkları temin etmektedir veya lisanslı araç</w:t>
            </w:r>
            <w:r w:rsidR="00BB679B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rla doğrudan kendisi toplamaktadır.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1F497D" w:themeColor="text2"/>
            </w:tcBorders>
            <w:vAlign w:val="center"/>
          </w:tcPr>
          <w:p w:rsidR="00EF1A6B" w:rsidRPr="0050733D" w:rsidRDefault="00EF1A6B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365F91" w:themeColor="accent1" w:themeShade="BF"/>
              <w:left w:val="single" w:sz="12" w:space="0" w:color="1F497D" w:themeColor="text2"/>
              <w:bottom w:val="single" w:sz="12" w:space="0" w:color="365F91" w:themeColor="accent1" w:themeShade="BF"/>
              <w:right w:val="single" w:sz="12" w:space="0" w:color="000080"/>
            </w:tcBorders>
            <w:vAlign w:val="center"/>
          </w:tcPr>
          <w:p w:rsidR="00EF1A6B" w:rsidRPr="0050733D" w:rsidRDefault="00EF1A6B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EF1A6B" w:rsidRPr="0050733D" w:rsidTr="001A33AA">
        <w:trPr>
          <w:trHeight w:val="345"/>
        </w:trPr>
        <w:tc>
          <w:tcPr>
            <w:tcW w:w="568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EF1A6B" w:rsidRPr="0050733D" w:rsidRDefault="00EF1A6B" w:rsidP="00730A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12" w:space="0" w:color="000080"/>
              <w:bottom w:val="single" w:sz="12" w:space="0" w:color="000080"/>
              <w:right w:val="single" w:sz="12" w:space="0" w:color="365F91" w:themeColor="accent1" w:themeShade="BF"/>
            </w:tcBorders>
            <w:vAlign w:val="center"/>
          </w:tcPr>
          <w:p w:rsidR="00EF1A6B" w:rsidRDefault="00EF1A6B" w:rsidP="00990ECB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000080"/>
              <w:right w:val="single" w:sz="12" w:space="0" w:color="auto"/>
            </w:tcBorders>
            <w:vAlign w:val="center"/>
          </w:tcPr>
          <w:p w:rsidR="00EF1A6B" w:rsidRPr="00DA638B" w:rsidRDefault="00B337ED" w:rsidP="00EF1A6B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İşletme,</w:t>
            </w:r>
            <w:r w:rsidR="00EF1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1A6B"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GFB ve/veya çevre lisans</w:t>
            </w:r>
            <w:r w:rsidR="00EF1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 bulunan bitkisel atık yağ ara depolama tesisleri ile sözleşmesi bulanmaktadır.</w:t>
            </w:r>
          </w:p>
        </w:tc>
        <w:tc>
          <w:tcPr>
            <w:tcW w:w="1134" w:type="dxa"/>
            <w:tcBorders>
              <w:top w:val="single" w:sz="12" w:space="0" w:color="365F91" w:themeColor="accent1" w:themeShade="BF"/>
              <w:left w:val="single" w:sz="12" w:space="0" w:color="auto"/>
              <w:bottom w:val="single" w:sz="12" w:space="0" w:color="000080"/>
              <w:right w:val="single" w:sz="12" w:space="0" w:color="000080"/>
            </w:tcBorders>
            <w:vAlign w:val="center"/>
          </w:tcPr>
          <w:p w:rsidR="00EF1A6B" w:rsidRPr="004D39D5" w:rsidRDefault="00EF1A6B" w:rsidP="004056E4">
            <w:pPr>
              <w:pStyle w:val="AralkYok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365F91" w:themeColor="accent1" w:themeShade="BF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EF1A6B" w:rsidRPr="0050733D" w:rsidRDefault="00EF1A6B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383C44" w:rsidRPr="0050733D" w:rsidTr="00E63D95">
        <w:trPr>
          <w:trHeight w:val="581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383C4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auto"/>
            </w:tcBorders>
            <w:vAlign w:val="center"/>
          </w:tcPr>
          <w:p w:rsidR="00383C44" w:rsidRPr="00DA638B" w:rsidRDefault="00383C44" w:rsidP="00EF1A6B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Tanklar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seviye göstergeleri mevcuttur. 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auto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383C44" w:rsidRPr="0050733D" w:rsidTr="00DF0E87">
        <w:trPr>
          <w:trHeight w:val="683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383C4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A563D" w:rsidRDefault="00AA563D" w:rsidP="00E279DD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C44" w:rsidRDefault="00A95141" w:rsidP="00E279DD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İşletmede kaynaklanan </w:t>
            </w:r>
            <w:bookmarkStart w:id="0" w:name="_GoBack"/>
            <w:bookmarkEnd w:id="0"/>
            <w:r w:rsidR="00383C44"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atıklarının geçici depolanması için ayrı bir depolama alanı oluşturulmuştur. </w:t>
            </w:r>
          </w:p>
          <w:p w:rsidR="00AA563D" w:rsidRPr="00DA638B" w:rsidRDefault="00AA563D" w:rsidP="00E279DD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383C44" w:rsidRPr="0050733D" w:rsidTr="00DF0E87">
        <w:trPr>
          <w:trHeight w:val="809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383C4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A563D" w:rsidRDefault="00AA563D" w:rsidP="00BA2EE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563D" w:rsidRDefault="00383C44" w:rsidP="00BA2EE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Bitkisel atık yağlardan elde edilen ürünlerin ulusal veya uluslararası standartları sağladığının sürekli olarak izlenmesi için tesiste bir laboratuvar ya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 yetkili laboratuvar ile sözleşmesi bulunmaktadır</w:t>
            </w:r>
          </w:p>
          <w:p w:rsidR="00383C44" w:rsidRPr="00DA638B" w:rsidRDefault="00383C44" w:rsidP="00BA2EE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383C44" w:rsidRPr="0050733D" w:rsidTr="00DF0E87">
        <w:trPr>
          <w:trHeight w:val="948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383C4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DA638B" w:rsidRDefault="00383C44" w:rsidP="00BF2F3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Tesise kabul edilecek bitkisel atık yağın 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abul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kriterleri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belirlenmiştir.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383C44" w:rsidRPr="0050733D" w:rsidTr="00BF2F38">
        <w:trPr>
          <w:trHeight w:val="833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383C4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A563D" w:rsidRDefault="00AA563D" w:rsidP="00BF2F3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C44" w:rsidRDefault="00383C44" w:rsidP="00BF2F3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Tesise kabul edilen bitkisel atık yağlardan a</w:t>
            </w:r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lınan numunelerin geri kazanım işlemi tamamlanıncaya kadar muhafaza edileceği yer mevcuttur.</w:t>
            </w:r>
          </w:p>
          <w:p w:rsidR="00AA563D" w:rsidRPr="00DA638B" w:rsidRDefault="00AA563D" w:rsidP="00BF2F38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383C44" w:rsidRPr="0050733D" w:rsidTr="00DF0E87">
        <w:trPr>
          <w:trHeight w:val="835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383C4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46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A563D" w:rsidRDefault="00AA563D" w:rsidP="00BA2EE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C44" w:rsidRDefault="00383C44" w:rsidP="00BA2EE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Taşıma araçları ile buna bağlı tank veya kasa ile bidonların ve konteynerlerin temizlenmesi için yıkama ünitesi bulunmaktadır.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A563D" w:rsidRPr="00DA638B" w:rsidRDefault="00AA563D" w:rsidP="00BA2EE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383C44" w:rsidRPr="0050733D" w:rsidTr="00DF0E87">
        <w:trPr>
          <w:trHeight w:val="958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383C44" w:rsidRPr="0050733D" w:rsidRDefault="00383C44" w:rsidP="00383C4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46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A563D" w:rsidRDefault="00AA563D" w:rsidP="00E279DD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C44" w:rsidRDefault="00383C44" w:rsidP="00E279DD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Tesiste kokuya karşı </w:t>
            </w:r>
            <w:proofErr w:type="gramStart"/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19/7/2013</w:t>
            </w:r>
            <w:proofErr w:type="gramEnd"/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tarihli ve 28712 sayılı Resmî </w:t>
            </w:r>
            <w:proofErr w:type="spellStart"/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Gazete’de</w:t>
            </w:r>
            <w:proofErr w:type="spellEnd"/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yayımlanan Koku Oluşturan Emisyonların Kontrolü Hakkında Yönetmelik doğrultusunda önlemler alınmıştır. </w:t>
            </w:r>
          </w:p>
          <w:p w:rsidR="00AA563D" w:rsidRPr="00DA638B" w:rsidRDefault="00AA563D" w:rsidP="00E279DD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383C44" w:rsidRPr="0050733D" w:rsidRDefault="00383C44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383C44" w:rsidRPr="0050733D" w:rsidTr="00DF0E87">
        <w:trPr>
          <w:trHeight w:val="675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383C4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46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DA638B" w:rsidRDefault="00383C44" w:rsidP="00BA2EE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İlgili Belediyeden alınmış itfaiye projesi izni</w:t>
            </w:r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bulunmaktadır.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383C44" w:rsidRPr="0050733D" w:rsidTr="00BF2F38">
        <w:trPr>
          <w:trHeight w:val="664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383C44" w:rsidRPr="0050733D" w:rsidRDefault="00383C44" w:rsidP="008F261D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946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A563D" w:rsidRDefault="00AA563D" w:rsidP="00BA2EE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C44" w:rsidRPr="00DA638B" w:rsidRDefault="00383C44" w:rsidP="00BA2EE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İşletmede ortaya çıkan yağmur sularının, yıkama ve benzeri atık suların ayrı toplanmasına yönelik altyapı oluşturulmuştur.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383C44" w:rsidRPr="0050733D" w:rsidRDefault="00383C44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383C44" w:rsidRPr="0050733D" w:rsidTr="00DF0E87">
        <w:trPr>
          <w:trHeight w:val="683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383C44" w:rsidRPr="0050733D" w:rsidRDefault="00383C44" w:rsidP="00383C4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946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A563D" w:rsidRDefault="00AA563D" w:rsidP="00BA2EE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C44" w:rsidRDefault="00383C44" w:rsidP="00BA2EE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Tesis içinde meydana gelebilecek döküntü ve sızıntıları önlemek amacıyla yeterli miktarda emici malzeme bulundurulmakta ve bu malzemeler tesisin uygun noktalarında kolay kullanımı sağlayacak şekilde depolanmaktadır. </w:t>
            </w:r>
          </w:p>
          <w:p w:rsidR="00AA563D" w:rsidRPr="00DA638B" w:rsidRDefault="00AA563D" w:rsidP="00BA2EE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383C44" w:rsidRPr="0050733D" w:rsidRDefault="00383C44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383C44" w:rsidRPr="0050733D" w:rsidTr="00DF0E87">
        <w:trPr>
          <w:trHeight w:val="383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383C4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A563D" w:rsidRDefault="00AA563D" w:rsidP="00BA2EE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C44" w:rsidRDefault="00383C44" w:rsidP="00BA2EE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Dökülmeye karşı tesis alanında sızdırmaz taşıma kanalları, toplama çukuru ve zemine uygun eğimler oluşturulur.</w:t>
            </w:r>
          </w:p>
          <w:p w:rsidR="00AA563D" w:rsidRPr="00DA638B" w:rsidRDefault="00AA563D" w:rsidP="00BA2EE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383C44" w:rsidRPr="0050733D" w:rsidTr="00383C44">
        <w:trPr>
          <w:trHeight w:val="667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383C4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A563D" w:rsidRDefault="00AA563D" w:rsidP="00BA2EE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C44" w:rsidRDefault="00383C44" w:rsidP="00BA2EE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İşletmenin çevresi çit veya duvarla çevrilmiştir. </w:t>
            </w:r>
          </w:p>
          <w:p w:rsidR="00AA563D" w:rsidRPr="00DA638B" w:rsidRDefault="00AA563D" w:rsidP="00BA2EE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383C44" w:rsidRPr="0050733D" w:rsidTr="00DF0E87">
        <w:trPr>
          <w:trHeight w:val="669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383C44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DA638B" w:rsidRDefault="00383C44" w:rsidP="00BA2EE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Paratoner ve topraklama sistemi bulunmaktadır.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383C44" w:rsidRPr="0050733D" w:rsidRDefault="00383C44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</w:tbl>
    <w:p w:rsidR="002B25F3" w:rsidRDefault="002B25F3" w:rsidP="0018786D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624987" w:rsidRDefault="00624987" w:rsidP="0018786D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*Bütün Sayfalar Paraflı Olmalıdır</w:t>
      </w:r>
    </w:p>
    <w:p w:rsidR="001C30B4" w:rsidRDefault="001C30B4" w:rsidP="0018786D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2B25F3" w:rsidRDefault="00624987" w:rsidP="0018786D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İncelemeyi Yapanların</w:t>
      </w:r>
      <w:r w:rsidR="00383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BF8" w:rsidRDefault="00624987" w:rsidP="0018786D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Adı</w:t>
      </w:r>
      <w:r w:rsidR="00BF2F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Soyadı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Ünvanı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İmza</w:t>
      </w:r>
    </w:p>
    <w:sectPr w:rsidR="00547BF8" w:rsidSect="001C30B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98" w:rsidRDefault="00262C98" w:rsidP="00F10F2A">
      <w:pPr>
        <w:spacing w:after="0" w:line="240" w:lineRule="auto"/>
      </w:pPr>
      <w:r>
        <w:separator/>
      </w:r>
    </w:p>
  </w:endnote>
  <w:endnote w:type="continuationSeparator" w:id="0">
    <w:p w:rsidR="00262C98" w:rsidRDefault="00262C98" w:rsidP="00F1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98" w:rsidRDefault="00262C98" w:rsidP="00F10F2A">
      <w:pPr>
        <w:spacing w:after="0" w:line="240" w:lineRule="auto"/>
      </w:pPr>
      <w:r>
        <w:separator/>
      </w:r>
    </w:p>
  </w:footnote>
  <w:footnote w:type="continuationSeparator" w:id="0">
    <w:p w:rsidR="00262C98" w:rsidRDefault="00262C98" w:rsidP="00F10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0"/>
    <w:rsid w:val="000D2FC9"/>
    <w:rsid w:val="000D524D"/>
    <w:rsid w:val="000D5ED7"/>
    <w:rsid w:val="000F205D"/>
    <w:rsid w:val="000F4448"/>
    <w:rsid w:val="0014280E"/>
    <w:rsid w:val="00142867"/>
    <w:rsid w:val="00162B0E"/>
    <w:rsid w:val="00177467"/>
    <w:rsid w:val="0018786D"/>
    <w:rsid w:val="001903B9"/>
    <w:rsid w:val="001A269B"/>
    <w:rsid w:val="001A33AA"/>
    <w:rsid w:val="001A38B9"/>
    <w:rsid w:val="001A723D"/>
    <w:rsid w:val="001C30B4"/>
    <w:rsid w:val="001C6ADB"/>
    <w:rsid w:val="001D2A79"/>
    <w:rsid w:val="001E2F0A"/>
    <w:rsid w:val="0020484E"/>
    <w:rsid w:val="002602EE"/>
    <w:rsid w:val="002623FD"/>
    <w:rsid w:val="00262C98"/>
    <w:rsid w:val="00275A70"/>
    <w:rsid w:val="002A7F80"/>
    <w:rsid w:val="002B25F3"/>
    <w:rsid w:val="002D58F4"/>
    <w:rsid w:val="002F5528"/>
    <w:rsid w:val="00316672"/>
    <w:rsid w:val="00383C44"/>
    <w:rsid w:val="004056E4"/>
    <w:rsid w:val="00416B41"/>
    <w:rsid w:val="00424F68"/>
    <w:rsid w:val="00426604"/>
    <w:rsid w:val="00434033"/>
    <w:rsid w:val="00437E98"/>
    <w:rsid w:val="004A581E"/>
    <w:rsid w:val="004D39D5"/>
    <w:rsid w:val="004E0D7A"/>
    <w:rsid w:val="004F6353"/>
    <w:rsid w:val="0050733D"/>
    <w:rsid w:val="0052476F"/>
    <w:rsid w:val="00547BF8"/>
    <w:rsid w:val="005A482E"/>
    <w:rsid w:val="005D70C2"/>
    <w:rsid w:val="00624987"/>
    <w:rsid w:val="00636A3E"/>
    <w:rsid w:val="0065455F"/>
    <w:rsid w:val="006773D9"/>
    <w:rsid w:val="006E327B"/>
    <w:rsid w:val="00705BAD"/>
    <w:rsid w:val="00706505"/>
    <w:rsid w:val="00712CCE"/>
    <w:rsid w:val="007235D1"/>
    <w:rsid w:val="0072486A"/>
    <w:rsid w:val="00730A92"/>
    <w:rsid w:val="00736000"/>
    <w:rsid w:val="007924B0"/>
    <w:rsid w:val="007D4BC8"/>
    <w:rsid w:val="007E42F2"/>
    <w:rsid w:val="007F0C5A"/>
    <w:rsid w:val="00800970"/>
    <w:rsid w:val="008419F5"/>
    <w:rsid w:val="00875120"/>
    <w:rsid w:val="008A53DC"/>
    <w:rsid w:val="008F261D"/>
    <w:rsid w:val="009106E7"/>
    <w:rsid w:val="00915224"/>
    <w:rsid w:val="00971C32"/>
    <w:rsid w:val="00980550"/>
    <w:rsid w:val="00990ECB"/>
    <w:rsid w:val="009B40A2"/>
    <w:rsid w:val="009B478B"/>
    <w:rsid w:val="009C47C8"/>
    <w:rsid w:val="009F3849"/>
    <w:rsid w:val="00A060F7"/>
    <w:rsid w:val="00A21087"/>
    <w:rsid w:val="00A24279"/>
    <w:rsid w:val="00A678DC"/>
    <w:rsid w:val="00A714CA"/>
    <w:rsid w:val="00A81144"/>
    <w:rsid w:val="00A95141"/>
    <w:rsid w:val="00A976D9"/>
    <w:rsid w:val="00AA33B1"/>
    <w:rsid w:val="00AA563D"/>
    <w:rsid w:val="00AA5DE5"/>
    <w:rsid w:val="00AE0E40"/>
    <w:rsid w:val="00AE169F"/>
    <w:rsid w:val="00AE54B4"/>
    <w:rsid w:val="00B337ED"/>
    <w:rsid w:val="00B5118C"/>
    <w:rsid w:val="00BB679B"/>
    <w:rsid w:val="00BC4A4D"/>
    <w:rsid w:val="00BF2F38"/>
    <w:rsid w:val="00C059E4"/>
    <w:rsid w:val="00CF35E7"/>
    <w:rsid w:val="00D34659"/>
    <w:rsid w:val="00D41ABC"/>
    <w:rsid w:val="00D424C0"/>
    <w:rsid w:val="00D61A38"/>
    <w:rsid w:val="00D73091"/>
    <w:rsid w:val="00D76D27"/>
    <w:rsid w:val="00D937E0"/>
    <w:rsid w:val="00DA638B"/>
    <w:rsid w:val="00DB2379"/>
    <w:rsid w:val="00DF0E87"/>
    <w:rsid w:val="00DF59EB"/>
    <w:rsid w:val="00E12E93"/>
    <w:rsid w:val="00E279DD"/>
    <w:rsid w:val="00E45040"/>
    <w:rsid w:val="00E63D95"/>
    <w:rsid w:val="00EF1A6B"/>
    <w:rsid w:val="00EF466F"/>
    <w:rsid w:val="00EF78A8"/>
    <w:rsid w:val="00F10F2A"/>
    <w:rsid w:val="00F31A8D"/>
    <w:rsid w:val="00F361A9"/>
    <w:rsid w:val="00F36687"/>
    <w:rsid w:val="00F5743D"/>
    <w:rsid w:val="00F85390"/>
    <w:rsid w:val="00FD0BBA"/>
    <w:rsid w:val="00FF4BE6"/>
    <w:rsid w:val="00FF55F0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A7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10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A72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A72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A72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A72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E450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E450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1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F2A"/>
  </w:style>
  <w:style w:type="paragraph" w:styleId="Altbilgi">
    <w:name w:val="footer"/>
    <w:basedOn w:val="Normal"/>
    <w:link w:val="AltbilgiChar"/>
    <w:uiPriority w:val="99"/>
    <w:unhideWhenUsed/>
    <w:rsid w:val="00F1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F2A"/>
  </w:style>
  <w:style w:type="character" w:customStyle="1" w:styleId="Balk2Char">
    <w:name w:val="Başlık 2 Char"/>
    <w:basedOn w:val="VarsaylanParagrafYazTipi"/>
    <w:link w:val="Balk2"/>
    <w:uiPriority w:val="9"/>
    <w:rsid w:val="00F10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A7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1A7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1A72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1A72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1A72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1A723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A7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10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A72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A72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A72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A72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E450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E450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1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F2A"/>
  </w:style>
  <w:style w:type="paragraph" w:styleId="Altbilgi">
    <w:name w:val="footer"/>
    <w:basedOn w:val="Normal"/>
    <w:link w:val="AltbilgiChar"/>
    <w:uiPriority w:val="99"/>
    <w:unhideWhenUsed/>
    <w:rsid w:val="00F1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F2A"/>
  </w:style>
  <w:style w:type="character" w:customStyle="1" w:styleId="Balk2Char">
    <w:name w:val="Başlık 2 Char"/>
    <w:basedOn w:val="VarsaylanParagrafYazTipi"/>
    <w:link w:val="Balk2"/>
    <w:uiPriority w:val="9"/>
    <w:rsid w:val="00F10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A7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1A7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1A72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1A72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1A72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1A723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49CB-5131-47ED-B74F-5012E004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Alev Pirci</cp:lastModifiedBy>
  <cp:revision>3</cp:revision>
  <cp:lastPrinted>2016-11-07T13:50:00Z</cp:lastPrinted>
  <dcterms:created xsi:type="dcterms:W3CDTF">2016-11-11T13:34:00Z</dcterms:created>
  <dcterms:modified xsi:type="dcterms:W3CDTF">2017-10-06T07:08:00Z</dcterms:modified>
</cp:coreProperties>
</file>